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97D" w:rsidRDefault="00C90653">
      <w:pPr>
        <w:pStyle w:val="Bodytext30"/>
        <w:shd w:val="clear" w:color="auto" w:fill="auto"/>
        <w:spacing w:after="292"/>
        <w:ind w:firstLine="760"/>
      </w:pPr>
      <w:r>
        <w:t>На основание чл. 28, ал. 2 от Закона за нормативните актове Ви предоставяме следните:</w:t>
      </w:r>
    </w:p>
    <w:p w:rsidR="005E597D" w:rsidRDefault="00C90653">
      <w:pPr>
        <w:pStyle w:val="Bodytext40"/>
        <w:shd w:val="clear" w:color="auto" w:fill="auto"/>
        <w:spacing w:before="0" w:after="152"/>
      </w:pPr>
      <w:r>
        <w:rPr>
          <w:rStyle w:val="Bodytext4NotBold"/>
        </w:rPr>
        <w:t xml:space="preserve">Мотиви за приемане на </w:t>
      </w:r>
      <w:r>
        <w:t>„НАРЕДБА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СПОРТНИЯ КАЛЕНДАР НА ОБЩИНА БУРГАС“</w:t>
      </w:r>
    </w:p>
    <w:p w:rsidR="005E597D" w:rsidRDefault="00C90653">
      <w:pPr>
        <w:pStyle w:val="Bodytext40"/>
        <w:numPr>
          <w:ilvl w:val="0"/>
          <w:numId w:val="1"/>
        </w:numPr>
        <w:shd w:val="clear" w:color="auto" w:fill="auto"/>
        <w:tabs>
          <w:tab w:val="left" w:pos="1004"/>
        </w:tabs>
        <w:spacing w:before="0" w:after="304" w:line="298" w:lineRule="exact"/>
        <w:ind w:firstLine="760"/>
      </w:pPr>
      <w:r>
        <w:rPr>
          <w:rStyle w:val="Bodytext41"/>
          <w:b/>
          <w:bCs/>
        </w:rPr>
        <w:t>Причини, които налагат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Бургас.</w:t>
      </w:r>
    </w:p>
    <w:p w:rsidR="005E597D" w:rsidRDefault="00C90653">
      <w:pPr>
        <w:pStyle w:val="Bodytext30"/>
        <w:shd w:val="clear" w:color="auto" w:fill="auto"/>
        <w:spacing w:after="0" w:line="293" w:lineRule="exact"/>
        <w:ind w:firstLine="760"/>
      </w:pPr>
      <w:r>
        <w:t>Към настоящия момент действа Наредба за условията и реда за финансово подпомагане на спортните мероприятия, включени в календара на Община Бургас, приета в края на 2017 г. Нормите на действащата наредба се нуждаят от прецизиране, за да не се създават трудности при нейното прилагане.</w:t>
      </w:r>
    </w:p>
    <w:p w:rsidR="005E597D" w:rsidRDefault="00C90653">
      <w:pPr>
        <w:pStyle w:val="Bodytext30"/>
        <w:shd w:val="clear" w:color="auto" w:fill="auto"/>
        <w:spacing w:after="0" w:line="293" w:lineRule="exact"/>
        <w:ind w:firstLine="760"/>
      </w:pPr>
      <w:r>
        <w:t>В настоящия проект на наредба нормите са по-добре систематизирани и подредени. Целта е да се постигне по-голяма яснота на нормативния акт и да се улесни неговото прилагане. Подредбата на нормите следва процесите, които протичат в хода на работния цикъл от самото начало до неговия край.</w:t>
      </w:r>
    </w:p>
    <w:p w:rsidR="005E597D" w:rsidRDefault="00C90653">
      <w:pPr>
        <w:pStyle w:val="Bodytext30"/>
        <w:shd w:val="clear" w:color="auto" w:fill="auto"/>
        <w:spacing w:after="593" w:line="293" w:lineRule="exact"/>
        <w:ind w:firstLine="760"/>
      </w:pPr>
      <w:r>
        <w:t>С настоящия проект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 се въвеждат и нови норми, които липсват в действащата към настоящия момент Наредба. Целта, която се преследва с новите текстове е уреждане на възникнали в практиката ситуации, за които е липсвало правило в нормативния акт.</w:t>
      </w:r>
    </w:p>
    <w:p w:rsidR="005E597D" w:rsidRDefault="00C90653">
      <w:pPr>
        <w:pStyle w:val="Bodytext40"/>
        <w:numPr>
          <w:ilvl w:val="0"/>
          <w:numId w:val="1"/>
        </w:numPr>
        <w:shd w:val="clear" w:color="auto" w:fill="auto"/>
        <w:tabs>
          <w:tab w:val="left" w:pos="1335"/>
        </w:tabs>
        <w:spacing w:before="0" w:after="296" w:line="302" w:lineRule="exact"/>
        <w:ind w:firstLine="1000"/>
      </w:pPr>
      <w:r>
        <w:rPr>
          <w:rStyle w:val="Bodytext41"/>
          <w:b/>
          <w:bCs/>
        </w:rPr>
        <w:t>Цели, които се поставят с предложения Проект и очаквани резултати:</w:t>
      </w:r>
    </w:p>
    <w:p w:rsidR="005E597D" w:rsidRDefault="00C90653">
      <w:pPr>
        <w:pStyle w:val="Bodytext30"/>
        <w:shd w:val="clear" w:color="auto" w:fill="auto"/>
        <w:spacing w:after="296" w:line="307" w:lineRule="exact"/>
        <w:ind w:firstLine="1000"/>
      </w:pPr>
      <w:r>
        <w:t xml:space="preserve">В резултат на приемане на проекта за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Бургас, се очаква да се подобри организацията и работата в сферата на спорта чрез въвеждане на строг контрол по законосъобразност при отчитане на разходваните средства, предоставени на спортните организации от Община Бургас, предвид направените големи инвестиции в областта на спорта през последните години. Предвидени са и включване на общинските съветници в дейността по мониторинга на спортните мероприятия за оценка на обществения интерес и тяхната </w:t>
      </w:r>
      <w:r>
        <w:lastRenderedPageBreak/>
        <w:t>целесъобразност.</w:t>
      </w:r>
    </w:p>
    <w:p w:rsidR="005E597D" w:rsidRDefault="00C90653">
      <w:pPr>
        <w:pStyle w:val="Bodytext40"/>
        <w:numPr>
          <w:ilvl w:val="0"/>
          <w:numId w:val="1"/>
        </w:numPr>
        <w:shd w:val="clear" w:color="auto" w:fill="auto"/>
        <w:tabs>
          <w:tab w:val="left" w:pos="1268"/>
        </w:tabs>
        <w:spacing w:before="0" w:after="304"/>
        <w:ind w:firstLine="760"/>
      </w:pPr>
      <w:r>
        <w:rPr>
          <w:rStyle w:val="Bodytext41"/>
          <w:b/>
          <w:bCs/>
        </w:rPr>
        <w:t>Финансови и други средства, необходими за прилагане на новата наредба.</w:t>
      </w:r>
    </w:p>
    <w:p w:rsidR="005E597D" w:rsidRDefault="00C90653">
      <w:pPr>
        <w:pStyle w:val="Bodytext30"/>
        <w:shd w:val="clear" w:color="auto" w:fill="auto"/>
        <w:spacing w:after="298" w:line="307" w:lineRule="exact"/>
        <w:ind w:firstLine="1000"/>
      </w:pPr>
      <w:r>
        <w:t>Прилагането на новата уредба е свързана с изразходване на финансови средства от бюджета на общината. Съгласно чл. 84 от Закона за публичните финанси (ЗПФ) кметът на общината разработва и внася в Общинския съвет окончателния проект на бюджета на общината. Съгласно чл. 94 от ЗПФ, Общинският съвет приема бюджета на общината за съответната година, в т.ч. и разходите за финансово подпомагане на спортните мероприятия, включени в календара на Община Бургас. Целта е планираният годишен размер на разходите да бъде съобразен с определените разчети в проекто-бюджета за 2020 г.</w:t>
      </w:r>
    </w:p>
    <w:p w:rsidR="005E597D" w:rsidRDefault="00C90653">
      <w:pPr>
        <w:pStyle w:val="Bodytext40"/>
        <w:numPr>
          <w:ilvl w:val="0"/>
          <w:numId w:val="1"/>
        </w:numPr>
        <w:shd w:val="clear" w:color="auto" w:fill="auto"/>
        <w:tabs>
          <w:tab w:val="left" w:pos="1270"/>
        </w:tabs>
        <w:spacing w:before="0" w:after="302" w:line="310" w:lineRule="exact"/>
        <w:ind w:firstLine="760"/>
      </w:pPr>
      <w:r>
        <w:rPr>
          <w:rStyle w:val="Bodytext41"/>
          <w:b/>
          <w:bCs/>
        </w:rPr>
        <w:t>Анализ на съответствие с правото на Европейския съюз.</w:t>
      </w:r>
    </w:p>
    <w:p w:rsidR="005E597D" w:rsidRDefault="00C90653">
      <w:pPr>
        <w:pStyle w:val="Bodytext30"/>
        <w:shd w:val="clear" w:color="auto" w:fill="auto"/>
        <w:spacing w:after="620" w:line="307" w:lineRule="exact"/>
        <w:ind w:firstLine="760"/>
      </w:pPr>
      <w:r>
        <w:t>Настоящият проект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относими към тази материя.</w:t>
      </w:r>
    </w:p>
    <w:p w:rsidR="005E597D" w:rsidRDefault="00C90653">
      <w:pPr>
        <w:pStyle w:val="Bodytext30"/>
        <w:shd w:val="clear" w:color="auto" w:fill="auto"/>
        <w:tabs>
          <w:tab w:val="left" w:pos="3370"/>
        </w:tabs>
        <w:spacing w:after="0" w:line="307" w:lineRule="exact"/>
        <w:ind w:firstLine="760"/>
      </w:pPr>
      <w:r>
        <w:t>На заинтересованите се предоставя 14-дневен срок, считан от 23.12.2019 г., за предложения и становища. Предоставеният срок е предвиденият в чл.26,</w:t>
      </w:r>
      <w:r>
        <w:tab/>
        <w:t>ал.4, изречение второ, от ЗНА, поради</w:t>
      </w:r>
    </w:p>
    <w:p w:rsidR="005E597D" w:rsidRDefault="00C90653">
      <w:pPr>
        <w:pStyle w:val="Bodytext30"/>
        <w:shd w:val="clear" w:color="auto" w:fill="auto"/>
        <w:spacing w:line="307" w:lineRule="exact"/>
      </w:pPr>
      <w:r>
        <w:t>необходимостта Общински съвет - Бургас, мандат 2019 - 2023 г. да предприеме навременни мерки за вземане на неотложни решения, важни за гражданите на гр. Бургас.</w:t>
      </w:r>
    </w:p>
    <w:p w:rsidR="005E597D" w:rsidRDefault="00C90653">
      <w:pPr>
        <w:pStyle w:val="Bodytext30"/>
        <w:shd w:val="clear" w:color="auto" w:fill="auto"/>
        <w:spacing w:after="0" w:line="307" w:lineRule="exact"/>
        <w:ind w:firstLine="760"/>
        <w:sectPr w:rsidR="005E597D">
          <w:pgSz w:w="11900" w:h="16840"/>
          <w:pgMar w:top="1728" w:right="1468" w:bottom="1685" w:left="1288" w:header="0" w:footer="3" w:gutter="0"/>
          <w:cols w:space="720"/>
          <w:noEndnote/>
          <w:docGrid w:linePitch="360"/>
        </w:sectPr>
      </w:pPr>
      <w:r>
        <w:t xml:space="preserve">Предложения за изменение и допълване на проекта могат да се входират писмено от заинтересованите лица в деловодството на Общински съвет на Община Бургас или по електронен път на </w:t>
      </w:r>
      <w:r>
        <w:rPr>
          <w:lang w:val="en-US" w:eastAsia="en-US" w:bidi="en-US"/>
        </w:rPr>
        <w:t xml:space="preserve">e-mail: </w:t>
      </w:r>
      <w:hyperlink r:id="rId7" w:history="1">
        <w:r>
          <w:rPr>
            <w:rStyle w:val="Bodytext31"/>
          </w:rPr>
          <w:t>y.georgiev@burgascouncil.org</w:t>
        </w:r>
      </w:hyperlink>
    </w:p>
    <w:p w:rsidR="005E597D" w:rsidRDefault="005E597D" w:rsidP="00DA3F33">
      <w:pPr>
        <w:pStyle w:val="Bodytext40"/>
        <w:shd w:val="clear" w:color="auto" w:fill="auto"/>
        <w:spacing w:before="0" w:after="282" w:line="310" w:lineRule="exact"/>
        <w:jc w:val="left"/>
      </w:pPr>
      <w:bookmarkStart w:id="0" w:name="_GoBack"/>
      <w:bookmarkEnd w:id="0"/>
    </w:p>
    <w:sectPr w:rsidR="005E597D" w:rsidSect="00DA3F33">
      <w:headerReference w:type="even" r:id="rId8"/>
      <w:headerReference w:type="default" r:id="rId9"/>
      <w:headerReference w:type="first" r:id="rId10"/>
      <w:pgSz w:w="11900" w:h="16840"/>
      <w:pgMar w:top="1740" w:right="1488" w:bottom="1740" w:left="134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755" w:rsidRDefault="00395755">
      <w:r>
        <w:separator/>
      </w:r>
    </w:p>
  </w:endnote>
  <w:endnote w:type="continuationSeparator" w:id="0">
    <w:p w:rsidR="00395755" w:rsidRDefault="0039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roman"/>
    <w:notTrueType/>
    <w:pitch w:val="default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755" w:rsidRDefault="00395755"/>
  </w:footnote>
  <w:footnote w:type="continuationSeparator" w:id="0">
    <w:p w:rsidR="00395755" w:rsidRDefault="003957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97D" w:rsidRDefault="009772C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5139055</wp:posOffset>
              </wp:positionH>
              <wp:positionV relativeFrom="page">
                <wp:posOffset>882015</wp:posOffset>
              </wp:positionV>
              <wp:extent cx="1179830" cy="350520"/>
              <wp:effectExtent l="0" t="0" r="0" b="0"/>
              <wp:wrapNone/>
              <wp:docPr id="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983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597D" w:rsidRDefault="00C90653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Headerorfooter1"/>
                              <w:b/>
                              <w:bCs/>
                            </w:rPr>
                            <w:t>Приложение № 4</w:t>
                          </w:r>
                        </w:p>
                        <w:p w:rsidR="005E597D" w:rsidRDefault="00C90653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Headerorfooter1"/>
                              <w:b/>
                              <w:bCs/>
                            </w:rPr>
                            <w:t>Към чл.21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1" type="#_x0000_t202" style="position:absolute;margin-left:404.65pt;margin-top:69.45pt;width:92.9pt;height:27.6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Km7rwIAAK8FAAAOAAAAZHJzL2Uyb0RvYy54bWysVFtvmzAUfp+0/2D5nXIpJIBCqjaEaVJ3&#10;kdr9AAdMsAY2st1AN+2/79iEpE1fpm08WAef4+/cvnNWN2PXogOVigmeYf/Kw4jyUlSM7zP87bFw&#10;YoyUJrwireA0w89U4Zv1+3eroU9pIBrRVlQiAOEqHfoMN1r3qeuqsqEdUVeipxyUtZAd0fAr924l&#10;yQDoXesGnrdwByGrXoqSKgW3+aTEa4tf17TUX+paUY3aDENs2p7SnjtzuusVSfeS9A0rj2GQv4ii&#10;I4yD0xNUTjRBT5K9gepYKYUStb4qReeKumYltTlANr53kc1DQ3pqc4HiqP5UJvX/YMvPh68SsSrD&#10;AUacdNCiRzpqdCdG5C9NeYZepWD10IOdHuEe2mxTVf29KL8rxMWmIXxPb6UUQ0NJBeH55qX74umE&#10;owzIbvgkKvBDnrSwQGMtO1M7qAYCdGjT86k1JpbSuPSXSXwNqhJ015EXBbZ3Lknn171U+gMVHTJC&#10;hiW03qKTw73SJhqSzibGGRcFa1vb/pa/ugDD6QZ8w1OjM1HYbv5MvGQbb+PQCYPF1gm9PHdui03o&#10;LAp/GeXX+WaT+7+MXz9MG1ZVlBs3M7P88M86d+T4xIkTt5RoWWXgTEhK7nebVqIDAWYX9rM1B83Z&#10;zH0dhi0C5HKRkh+E3l2QOMUiXjphEUZOsvRix/OTu2ThhUmYF69Tumec/ntKaMhwEgXRRKZz0Be5&#10;efZ7mxtJO6Zhd7Ssy3B8MiKpoeCWV7a1mrB2kl+UwoR/LgW0e260Jazh6MRWPe5GOxrRPAc7UT0D&#10;g6UAggEXYe+B0Aj5A6MBdkiGOSw5jNqPHGbArJtZkLOwmwXCS3iYYY3RJG70tJaeesn2DeDOU3YL&#10;c1IwS2EzUFMMx+mCrWAzOW4ws3Ze/lur855d/wYAAP//AwBQSwMEFAAGAAgAAAAhAKo/B3beAAAA&#10;CwEAAA8AAABkcnMvZG93bnJldi54bWxMj8tOwzAQRfdI/IM1SOyoE8ojDnEqVIlNdxSExM6Np3GE&#10;H5Htpsnfd1jBcuYe3TnTbGZn2YQxDcFLKFcFMPRd0IPvJXx+vN1VwFJWXisbPEpYMMGmvb5qVK3D&#10;2b/jtM89oxKfaiXB5DzWnKfOoFNpFUb0lB1DdCrTGHuuozpTubP8viieuFODpwtGjbg12P3sT07C&#10;8/wVcEy4xe/j1EUzLJXdLVLe3syvL8AyzvkPhl99UoeWnA7h5HViVkJViDWhFKwrAYwIIR5LYAfa&#10;iIcSeNvw/z+0FwAAAP//AwBQSwECLQAUAAYACAAAACEAtoM4kv4AAADhAQAAEwAAAAAAAAAAAAAA&#10;AAAAAAAAW0NvbnRlbnRfVHlwZXNdLnhtbFBLAQItABQABgAIAAAAIQA4/SH/1gAAAJQBAAALAAAA&#10;AAAAAAAAAAAAAC8BAABfcmVscy8ucmVsc1BLAQItABQABgAIAAAAIQCOtKm7rwIAAK8FAAAOAAAA&#10;AAAAAAAAAAAAAC4CAABkcnMvZTJvRG9jLnhtbFBLAQItABQABgAIAAAAIQCqPwd23gAAAAsBAAAP&#10;AAAAAAAAAAAAAAAAAAkFAABkcnMvZG93bnJldi54bWxQSwUGAAAAAAQABADzAAAAFAYAAAAA&#10;" filled="f" stroked="f">
              <v:textbox style="mso-fit-shape-to-text:t" inset="0,0,0,0">
                <w:txbxContent>
                  <w:p w:rsidR="005E597D" w:rsidRDefault="00C90653">
                    <w:pPr>
                      <w:pStyle w:val="Headerorfooter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Headerorfooter1"/>
                        <w:b/>
                        <w:bCs/>
                      </w:rPr>
                      <w:t>Приложение № 4</w:t>
                    </w:r>
                  </w:p>
                  <w:p w:rsidR="005E597D" w:rsidRDefault="00C90653">
                    <w:pPr>
                      <w:pStyle w:val="Headerorfooter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Headerorfooter1"/>
                        <w:b/>
                        <w:bCs/>
                      </w:rPr>
                      <w:t>Към чл.21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97D" w:rsidRDefault="005E597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97D" w:rsidRDefault="009772C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5118100</wp:posOffset>
              </wp:positionH>
              <wp:positionV relativeFrom="page">
                <wp:posOffset>1309370</wp:posOffset>
              </wp:positionV>
              <wp:extent cx="1229360" cy="350520"/>
              <wp:effectExtent l="3175" t="4445" r="0" b="0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936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597D" w:rsidRDefault="00C90653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Headerorfooter1"/>
                              <w:b/>
                              <w:bCs/>
                            </w:rPr>
                            <w:t>Приложение № 3</w:t>
                          </w:r>
                        </w:p>
                        <w:p w:rsidR="005E597D" w:rsidRDefault="00C90653">
                          <w:pPr>
                            <w:pStyle w:val="Headerorfooter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Headerorfooter1"/>
                              <w:b/>
                              <w:bCs/>
                            </w:rPr>
                            <w:t>Към чл.15 и чл.16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2" type="#_x0000_t202" style="position:absolute;margin-left:403pt;margin-top:103.1pt;width:96.8pt;height:27.6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zKPrgIAAK8FAAAOAAAAZHJzL2Uyb0RvYy54bWysVFtvmzAUfp+0/2D5nXIJoYBCqjaEaVJ3&#10;kdr9AAdMsAY2st1AN+2/79iEJG1fpm08WAef4+/cvnNWN2PXogOVigmeYf/Kw4jyUlSM7zP87bFw&#10;YoyUJrwireA0w89U4Zv1+3eroU9pIBrRVlQiAOEqHfoMN1r3qeuqsqEdUVeipxyUtZAd0fAr924l&#10;yQDoXesGnhe5g5BVL0VJlYLbfFLitcWva1rqL3WtqEZthiE2bU9pz5053fWKpHtJ+oaVxzDIX0TR&#10;EcbB6QkqJ5qgJ8neQHWslEKJWl+VonNFXbOS2hwgG997lc1DQ3pqc4HiqP5UJvX/YMvPh68SsQp6&#10;hxEnHbTokY4a3YkR+bEpz9CrFKweerDTI9wbU5Oq6u9F+V0hLjYN4Xt6K6UYGkoqCM83L92LpxOO&#10;MiC74ZOowA950sICjbXsDCBUAwE6tOn51BoTS2lcBkGyiEBVgm6x9JaB7Z1L0vl1L5X+QEWHjJBh&#10;Ca236ORwr7SJhqSziXHGRcHa1ra/5S8uwHC6Ad/w1OhMFLabPxMv2cbbOHTCINo6oZfnzm2xCZ2o&#10;8K+X+SLfbHL/l/Hrh2nDqopy42Zmlh/+WeeOHJ84ceKWEi2rDJwJScn9btNKdCDA7MJ+tuagOZu5&#10;L8OwRYBcXqXkB6F3FyROEcXXTliESye59mLH85O7JPLCJMyLlyndM07/PSU0ZDhZBsuJTOegX+Xm&#10;2e9tbiTtmIbd0bIuw/HJiKSGglte2dZqwtpJviiFCf9cCmj33GhLWMPRia163I12NKJ5DnaiegYG&#10;SwEEAy7C3gOhEfIHRgPskAxzWHIYtR85zIBZN7MgZ2E3C4SX8DDDGqNJ3OhpLT31ku0bwJ2n7Bbm&#10;pGCWwmagphiO0wVbwWZy3GBm7Vz+W6vznl3/BgAA//8DAFBLAwQUAAYACAAAACEAER3uAN4AAAAL&#10;AQAADwAAAGRycy9kb3ducmV2LnhtbEyPwU7DMBBE70j8g7VI3KjdCJkkxKlQJS7cKKgSNzfZxhH2&#10;OrLdNPl7zAmOszOafdPsFmfZjCGOnhRsNwIYUuf7kQYFnx+vDyWwmDT12npCBStG2LW3N42ue3+l&#10;d5wPaWC5hGKtFZiUpprz2Bl0Om78hJS9sw9OpyzDwPugr7ncWV4IIbnTI+UPRk+4N9h9Hy5OwdNy&#10;9DhF3OPXee6CGdfSvq1K3d8tL8/AEi7pLwy/+Bkd2sx08hfqI7MKSiHzlqSgELIAlhNVVUlgp3yR&#10;20fgbcP/b2h/AAAA//8DAFBLAQItABQABgAIAAAAIQC2gziS/gAAAOEBAAATAAAAAAAAAAAAAAAA&#10;AAAAAABbQ29udGVudF9UeXBlc10ueG1sUEsBAi0AFAAGAAgAAAAhADj9If/WAAAAlAEAAAsAAAAA&#10;AAAAAAAAAAAALwEAAF9yZWxzLy5yZWxzUEsBAi0AFAAGAAgAAAAhAPJPMo+uAgAArwUAAA4AAAAA&#10;AAAAAAAAAAAALgIAAGRycy9lMm9Eb2MueG1sUEsBAi0AFAAGAAgAAAAhABEd7gDeAAAACwEAAA8A&#10;AAAAAAAAAAAAAAAACAUAAGRycy9kb3ducmV2LnhtbFBLBQYAAAAABAAEAPMAAAATBgAAAAA=&#10;" filled="f" stroked="f">
              <v:textbox style="mso-fit-shape-to-text:t" inset="0,0,0,0">
                <w:txbxContent>
                  <w:p w:rsidR="005E597D" w:rsidRDefault="00C90653">
                    <w:pPr>
                      <w:pStyle w:val="Headerorfooter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Headerorfooter1"/>
                        <w:b/>
                        <w:bCs/>
                      </w:rPr>
                      <w:t>Приложение № 3</w:t>
                    </w:r>
                  </w:p>
                  <w:p w:rsidR="005E597D" w:rsidRDefault="00C90653">
                    <w:pPr>
                      <w:pStyle w:val="Headerorfooter0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Headerorfooter1"/>
                        <w:b/>
                        <w:bCs/>
                      </w:rPr>
                      <w:t>Към чл.15 и чл.16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2054"/>
    <w:multiLevelType w:val="multilevel"/>
    <w:tmpl w:val="CF407C0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342987"/>
    <w:multiLevelType w:val="multilevel"/>
    <w:tmpl w:val="C48E02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5042D8"/>
    <w:multiLevelType w:val="multilevel"/>
    <w:tmpl w:val="564C2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F02D7"/>
    <w:multiLevelType w:val="multilevel"/>
    <w:tmpl w:val="34C48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EA1F3E"/>
    <w:multiLevelType w:val="multilevel"/>
    <w:tmpl w:val="6CC899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927625"/>
    <w:multiLevelType w:val="multilevel"/>
    <w:tmpl w:val="99909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C2698"/>
    <w:multiLevelType w:val="multilevel"/>
    <w:tmpl w:val="86D64F2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0B7EDE"/>
    <w:multiLevelType w:val="multilevel"/>
    <w:tmpl w:val="A912C92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38147C"/>
    <w:multiLevelType w:val="multilevel"/>
    <w:tmpl w:val="19D8C25C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79104E"/>
    <w:multiLevelType w:val="multilevel"/>
    <w:tmpl w:val="54281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B60DDB"/>
    <w:multiLevelType w:val="multilevel"/>
    <w:tmpl w:val="97D2FC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A44B8"/>
    <w:multiLevelType w:val="multilevel"/>
    <w:tmpl w:val="0F16357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432C41"/>
    <w:multiLevelType w:val="multilevel"/>
    <w:tmpl w:val="FF4A7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81681F"/>
    <w:multiLevelType w:val="multilevel"/>
    <w:tmpl w:val="67E2BEF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2837E6"/>
    <w:multiLevelType w:val="multilevel"/>
    <w:tmpl w:val="5ED2FDE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F14993"/>
    <w:multiLevelType w:val="multilevel"/>
    <w:tmpl w:val="B2AA9EE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BB2280"/>
    <w:multiLevelType w:val="multilevel"/>
    <w:tmpl w:val="79425D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CB3DA7"/>
    <w:multiLevelType w:val="multilevel"/>
    <w:tmpl w:val="02DC1B4A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8963F30"/>
    <w:multiLevelType w:val="multilevel"/>
    <w:tmpl w:val="9BFA741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F0632D7"/>
    <w:multiLevelType w:val="multilevel"/>
    <w:tmpl w:val="1A56D3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D61C88"/>
    <w:multiLevelType w:val="multilevel"/>
    <w:tmpl w:val="A2A06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501132"/>
    <w:multiLevelType w:val="multilevel"/>
    <w:tmpl w:val="C5F609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47D2574"/>
    <w:multiLevelType w:val="multilevel"/>
    <w:tmpl w:val="02446A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F1D51D3"/>
    <w:multiLevelType w:val="multilevel"/>
    <w:tmpl w:val="B26085EE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3"/>
  </w:num>
  <w:num w:numId="5">
    <w:abstractNumId w:val="16"/>
  </w:num>
  <w:num w:numId="6">
    <w:abstractNumId w:val="19"/>
  </w:num>
  <w:num w:numId="7">
    <w:abstractNumId w:val="6"/>
  </w:num>
  <w:num w:numId="8">
    <w:abstractNumId w:val="9"/>
  </w:num>
  <w:num w:numId="9">
    <w:abstractNumId w:val="13"/>
  </w:num>
  <w:num w:numId="10">
    <w:abstractNumId w:val="4"/>
  </w:num>
  <w:num w:numId="11">
    <w:abstractNumId w:val="21"/>
  </w:num>
  <w:num w:numId="12">
    <w:abstractNumId w:val="15"/>
  </w:num>
  <w:num w:numId="13">
    <w:abstractNumId w:val="12"/>
  </w:num>
  <w:num w:numId="14">
    <w:abstractNumId w:val="14"/>
  </w:num>
  <w:num w:numId="15">
    <w:abstractNumId w:val="5"/>
  </w:num>
  <w:num w:numId="16">
    <w:abstractNumId w:val="17"/>
  </w:num>
  <w:num w:numId="17">
    <w:abstractNumId w:val="7"/>
  </w:num>
  <w:num w:numId="18">
    <w:abstractNumId w:val="8"/>
  </w:num>
  <w:num w:numId="19">
    <w:abstractNumId w:val="23"/>
  </w:num>
  <w:num w:numId="20">
    <w:abstractNumId w:val="10"/>
  </w:num>
  <w:num w:numId="21">
    <w:abstractNumId w:val="22"/>
  </w:num>
  <w:num w:numId="22">
    <w:abstractNumId w:val="20"/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7D"/>
    <w:rsid w:val="00395755"/>
    <w:rsid w:val="005E597D"/>
    <w:rsid w:val="009772C0"/>
    <w:rsid w:val="00C90653"/>
    <w:rsid w:val="00DA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C809EC-4D51-44F5-AB2A-44714A27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NotBold">
    <w:name w:val="Body text (4) + 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F4A9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Exact">
    <w:name w:val="Body text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7">
    <w:name w:val="Body text (7)_"/>
    <w:basedOn w:val="DefaultParagraphFont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711ptNotBold">
    <w:name w:val="Body text (7) + 11 pt;Not Bold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8">
    <w:name w:val="Body text (8)_"/>
    <w:basedOn w:val="DefaultParagraphFont"/>
    <w:link w:val="Bodytext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8ArialNarrow105ptBold">
    <w:name w:val="Body text (8) + Arial Narrow;10;5 pt;Bold"/>
    <w:basedOn w:val="Bodytext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9">
    <w:name w:val="Body text (9)_"/>
    <w:basedOn w:val="DefaultParagraphFont"/>
    <w:link w:val="Bodytext90"/>
    <w:rPr>
      <w:rFonts w:ascii="Verdana" w:eastAsia="Verdana" w:hAnsi="Verdana" w:cs="Verdan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9TimesNewRoman11ptNotBold">
    <w:name w:val="Body text (9) + Times New Roman;11 pt;Not Bold"/>
    <w:basedOn w:val="Bodytext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1Exact">
    <w:name w:val="Heading #1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10">
    <w:name w:val="Body text (10)_"/>
    <w:basedOn w:val="DefaultParagraphFont"/>
    <w:link w:val="Bodytext100"/>
    <w:rPr>
      <w:rFonts w:ascii="Verdana" w:eastAsia="Verdana" w:hAnsi="Verdana" w:cs="Verdan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10TimesNewRoman11ptNotBold">
    <w:name w:val="Body text (10) + Times New Roman;11 pt;Not Bold"/>
    <w:basedOn w:val="Bodytext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11">
    <w:name w:val="Body text (11)_"/>
    <w:basedOn w:val="DefaultParagraphFont"/>
    <w:link w:val="Bodytext110"/>
    <w:rPr>
      <w:rFonts w:ascii="Verdana" w:eastAsia="Verdana" w:hAnsi="Verdana" w:cs="Verdana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11TimesNewRoman115ptNotBold">
    <w:name w:val="Body text (11) + Times New Roman;11;5 pt;Not Bold"/>
    <w:basedOn w:val="Bodytext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Bodytext12">
    <w:name w:val="Body text (12)_"/>
    <w:basedOn w:val="DefaultParagraphFont"/>
    <w:link w:val="Bodytext120"/>
    <w:rPr>
      <w:rFonts w:ascii="Corbel" w:eastAsia="Corbel" w:hAnsi="Corbel" w:cs="Corbe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12TimesNewRoman11ptNotBold">
    <w:name w:val="Body text (12) + Times New Roman;11 pt;Not Bold"/>
    <w:basedOn w:val="Bodytext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5Spacing3pt">
    <w:name w:val="Body text (5) + Spacing 3 pt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300" w:line="30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300" w:after="140" w:line="31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540" w:line="266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80" w:line="264" w:lineRule="exact"/>
      <w:ind w:hanging="920"/>
      <w:jc w:val="both"/>
    </w:pPr>
    <w:rPr>
      <w:rFonts w:ascii="Times New Roman" w:eastAsia="Times New Roman" w:hAnsi="Times New Roman" w:cs="Times New Roman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after="26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264" w:lineRule="exact"/>
      <w:ind w:firstLine="300"/>
    </w:pPr>
    <w:rPr>
      <w:rFonts w:ascii="Verdana" w:eastAsia="Verdana" w:hAnsi="Verdana" w:cs="Verdana"/>
      <w:sz w:val="18"/>
      <w:szCs w:val="18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528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528" w:lineRule="exact"/>
      <w:jc w:val="both"/>
    </w:pPr>
    <w:rPr>
      <w:rFonts w:ascii="Verdana" w:eastAsia="Verdana" w:hAnsi="Verdana" w:cs="Verdana"/>
      <w:sz w:val="20"/>
      <w:szCs w:val="20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line="528" w:lineRule="exact"/>
      <w:jc w:val="both"/>
    </w:pPr>
    <w:rPr>
      <w:rFonts w:ascii="Verdana" w:eastAsia="Verdana" w:hAnsi="Verdana" w:cs="Verdana"/>
      <w:b/>
      <w:bCs/>
      <w:sz w:val="12"/>
      <w:szCs w:val="12"/>
    </w:rPr>
  </w:style>
  <w:style w:type="paragraph" w:customStyle="1" w:styleId="Bodytext100">
    <w:name w:val="Body text (10)"/>
    <w:basedOn w:val="Normal"/>
    <w:link w:val="Bodytext10"/>
    <w:pPr>
      <w:shd w:val="clear" w:color="auto" w:fill="FFFFFF"/>
      <w:spacing w:line="528" w:lineRule="exact"/>
    </w:pPr>
    <w:rPr>
      <w:rFonts w:ascii="Verdana" w:eastAsia="Verdana" w:hAnsi="Verdana" w:cs="Verdana"/>
      <w:b/>
      <w:bCs/>
      <w:sz w:val="12"/>
      <w:szCs w:val="12"/>
    </w:rPr>
  </w:style>
  <w:style w:type="paragraph" w:customStyle="1" w:styleId="Bodytext110">
    <w:name w:val="Body text (11)"/>
    <w:basedOn w:val="Normal"/>
    <w:link w:val="Bodytext11"/>
    <w:pPr>
      <w:shd w:val="clear" w:color="auto" w:fill="FFFFFF"/>
      <w:spacing w:line="528" w:lineRule="exact"/>
    </w:pPr>
    <w:rPr>
      <w:rFonts w:ascii="Verdana" w:eastAsia="Verdana" w:hAnsi="Verdana" w:cs="Verdana"/>
      <w:b/>
      <w:bCs/>
      <w:sz w:val="12"/>
      <w:szCs w:val="12"/>
    </w:rPr>
  </w:style>
  <w:style w:type="paragraph" w:customStyle="1" w:styleId="Bodytext120">
    <w:name w:val="Body text (12)"/>
    <w:basedOn w:val="Normal"/>
    <w:link w:val="Bodytext12"/>
    <w:pPr>
      <w:shd w:val="clear" w:color="auto" w:fill="FFFFFF"/>
      <w:spacing w:line="528" w:lineRule="exact"/>
    </w:pPr>
    <w:rPr>
      <w:rFonts w:ascii="Corbel" w:eastAsia="Corbel" w:hAnsi="Corbel" w:cs="Corbe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.georgiev@burgascouncil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Reneta Raykova</cp:lastModifiedBy>
  <cp:revision>2</cp:revision>
  <dcterms:created xsi:type="dcterms:W3CDTF">2019-12-23T11:30:00Z</dcterms:created>
  <dcterms:modified xsi:type="dcterms:W3CDTF">2019-12-23T11:30:00Z</dcterms:modified>
</cp:coreProperties>
</file>